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center"/>
        <w:rPr>
          <w:rFonts w:hint="eastAsia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</w:pPr>
      <w:bookmarkStart w:id="0" w:name="OLE_LINK1"/>
      <w:bookmarkStart w:id="1" w:name="_GoBack"/>
      <w:r>
        <w:rPr>
          <w:rFonts w:hint="eastAsia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西永微电园富康新城集中隔离点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精细化清洁服务</w:t>
      </w:r>
      <w:r>
        <w:rPr>
          <w:rFonts w:hint="eastAsia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 w:bidi="ar-SA"/>
        </w:rPr>
        <w:t>内容标准及</w:t>
      </w:r>
      <w:r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 w:bidi="ar-SA"/>
        </w:rPr>
        <w:t>限价</w:t>
      </w:r>
      <w:bookmarkEnd w:id="1"/>
    </w:p>
    <w:bookmarkEnd w:id="0"/>
    <w:p>
      <w:pPr>
        <w:pStyle w:val="2"/>
        <w:rPr>
          <w:rFonts w:hint="default"/>
          <w:lang w:val="en-US"/>
        </w:rPr>
      </w:pPr>
    </w:p>
    <w:tbl>
      <w:tblPr>
        <w:tblStyle w:val="6"/>
        <w:tblW w:w="8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4"/>
        <w:gridCol w:w="1598"/>
        <w:gridCol w:w="1477"/>
        <w:gridCol w:w="1330"/>
      </w:tblGrid>
      <w:tr>
        <w:tblPrEx>
          <w:tblLayout w:type="fixed"/>
        </w:tblPrEx>
        <w:trPr>
          <w:trHeight w:val="672" w:hRule="atLeast"/>
          <w:jc w:val="center"/>
        </w:trPr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清洁服务内容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清洁验收标准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暂定清洁面积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单价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限价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室内部分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地面、墙面、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踢脚线（砖）、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家具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（里外）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门窗、管道、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家电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、洁具、镜面等。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公共区域及共用部位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both"/>
              <w:textAlignment w:val="auto"/>
              <w:outlineLvl w:val="0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地面、墙面、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踢脚线（砖）、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走廊通道、</w:t>
            </w:r>
            <w:r>
              <w:rPr>
                <w:rFonts w:hint="eastAsia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电梯间、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楼梯间、梯步、栏杆</w:t>
            </w:r>
            <w:r>
              <w:rPr>
                <w:rFonts w:hint="eastAsia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门窗及配件、</w:t>
            </w:r>
            <w:r>
              <w:rPr>
                <w:rFonts w:hint="eastAsia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管道、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消防箱</w:t>
            </w:r>
            <w:r>
              <w:rPr>
                <w:rFonts w:hint="eastAsia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表面（灭火器、消防栓）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、电梯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轿厢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一层架空层，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公共卫生间的门窗、墙面、地面、洁具及配件、便池马桶及配件</w:t>
            </w:r>
            <w:r>
              <w:rPr>
                <w:rFonts w:hint="eastAsia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干净、整洁，无污渍、</w:t>
            </w:r>
            <w:r>
              <w:rPr>
                <w:rFonts w:hint="eastAsia" w:ascii="Times New Roman" w:hAnsi="Times New Roman" w:eastAsia="方正仿宋_GB2312" w:cs="Times New Roman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无水印、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无杂物、无灰尘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50882.1㎡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.80元/平米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_GB2312" w:cs="Times New Roman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总价限价193351.98元（人民币大写：壹拾玖万叁仟叁佰伍拾壹元玖角捌分）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备注：限价为全费用综合单价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包含以下部分：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、人工费、设备费、</w:t>
      </w:r>
      <w:r>
        <w:rPr>
          <w:rFonts w:hint="eastAsia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机具费、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耗材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费、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交通费、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保险费、管理费、质保、利润、税费等所有费用。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480" w:firstLineChars="20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、所用材料发生市场价格变动的风险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及政策变动的风险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小标宋_GBK" w:cs="Times New Roman"/>
          <w:b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、完成招标范围及合同约定所产生的其他费用。</w:t>
      </w:r>
    </w:p>
    <w:p>
      <w:pPr>
        <w:pStyle w:val="7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highlight w:val="none"/>
          <w:lang w:val="en-US" w:eastAsia="zh-CN"/>
        </w:rPr>
      </w:pPr>
    </w:p>
    <w:p>
      <w:pPr>
        <w:pStyle w:val="7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highlight w:val="none"/>
          <w:lang w:val="en-US" w:eastAsia="zh-CN"/>
        </w:rPr>
      </w:pPr>
    </w:p>
    <w:p>
      <w:pPr>
        <w:pStyle w:val="7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highlight w:val="none"/>
          <w:lang w:val="en-US" w:eastAsia="zh-CN"/>
        </w:rPr>
      </w:pPr>
    </w:p>
    <w:p>
      <w:pPr>
        <w:pStyle w:val="7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highlight w:val="none"/>
          <w:lang w:val="en-US" w:eastAsia="zh-CN"/>
        </w:rPr>
      </w:pPr>
    </w:p>
    <w:p>
      <w:pPr>
        <w:pStyle w:val="7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highlight w:val="none"/>
          <w:lang w:val="en-US" w:eastAsia="zh-CN"/>
        </w:rPr>
      </w:pPr>
    </w:p>
    <w:p>
      <w:pPr>
        <w:pStyle w:val="7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highlight w:val="none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95796557">
    <w:nsid w:val="2979034D"/>
    <w:multiLevelType w:val="singleLevel"/>
    <w:tmpl w:val="2979034D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957965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52D18"/>
    <w:rsid w:val="77C52D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3">
    <w:name w:val="Body Text"/>
    <w:basedOn w:val="1"/>
    <w:uiPriority w:val="0"/>
    <w:rPr>
      <w:sz w:val="26"/>
    </w:rPr>
  </w:style>
  <w:style w:type="paragraph" w:styleId="4">
    <w:name w:val="Body Text Indent"/>
    <w:basedOn w:val="1"/>
    <w:uiPriority w:val="0"/>
    <w:pPr>
      <w:ind w:firstLine="407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2022-08-11T03:28:00Z</dcterms:created>
  <dc:creator>Administrator</dc:creator>
  <cp:lastModifiedBy>Administrator</cp:lastModifiedBy>
  <dcterms:modified xsi:type="dcterms:W3CDTF">2022-08-11T03:29:26Z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